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12DB" w14:textId="77777777" w:rsidR="00450842" w:rsidRDefault="00450842">
      <w:pPr>
        <w:rPr>
          <w:rFonts w:ascii="Calibri" w:eastAsia="Calibri" w:hAnsi="Calibri" w:cs="Calibri"/>
          <w:b/>
          <w:sz w:val="10"/>
          <w:szCs w:val="10"/>
        </w:rPr>
      </w:pPr>
    </w:p>
    <w:p w14:paraId="52FA316D" w14:textId="059E272B" w:rsidR="00450842" w:rsidRPr="002F7914" w:rsidRDefault="002F7914" w:rsidP="00AB3799">
      <w:pPr>
        <w:jc w:val="center"/>
        <w:rPr>
          <w:rFonts w:ascii="Arial" w:eastAsia="Calibri" w:hAnsi="Arial" w:cs="Arial"/>
          <w:b/>
          <w:sz w:val="48"/>
          <w:szCs w:val="48"/>
        </w:rPr>
      </w:pPr>
      <w:r w:rsidRPr="002F7914">
        <w:rPr>
          <w:rFonts w:ascii="Arial" w:eastAsia="Calibri" w:hAnsi="Arial" w:cs="Arial"/>
          <w:b/>
          <w:sz w:val="48"/>
          <w:szCs w:val="48"/>
        </w:rPr>
        <w:t>France COMPÉTENCES</w:t>
      </w:r>
    </w:p>
    <w:p w14:paraId="2F823AE4" w14:textId="321A06A3" w:rsidR="00AB3799" w:rsidRDefault="00AB3799" w:rsidP="00AB379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2B7D59DB" w14:textId="19AA85FB" w:rsidR="00AB3799" w:rsidRDefault="002F7914" w:rsidP="00AB3799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LIEN</w:t>
      </w:r>
      <w:r w:rsidR="00CB1809">
        <w:rPr>
          <w:rFonts w:ascii="Arial" w:eastAsia="Calibri" w:hAnsi="Arial" w:cs="Arial"/>
          <w:b/>
          <w:sz w:val="28"/>
          <w:szCs w:val="28"/>
        </w:rPr>
        <w:t xml:space="preserve"> : </w:t>
      </w:r>
      <w:hyperlink r:id="rId7" w:history="1">
        <w:r w:rsidR="00C1035D" w:rsidRPr="00840827">
          <w:rPr>
            <w:rStyle w:val="Lienhypertexte"/>
            <w:rFonts w:ascii="Arial" w:eastAsia="Calibri" w:hAnsi="Arial" w:cs="Arial"/>
            <w:b/>
            <w:sz w:val="28"/>
            <w:szCs w:val="28"/>
          </w:rPr>
          <w:t>https://www.francecompetences.fr</w:t>
        </w:r>
      </w:hyperlink>
    </w:p>
    <w:p w14:paraId="34DC3E02" w14:textId="0043A7A0" w:rsidR="00AB3799" w:rsidRDefault="00AB3799" w:rsidP="00AB3799">
      <w:pPr>
        <w:rPr>
          <w:rFonts w:ascii="Arial" w:eastAsia="Calibri" w:hAnsi="Arial" w:cs="Arial"/>
          <w:b/>
          <w:sz w:val="28"/>
          <w:szCs w:val="28"/>
        </w:rPr>
      </w:pPr>
    </w:p>
    <w:p w14:paraId="17508A1E" w14:textId="77777777" w:rsidR="00C1035D" w:rsidRDefault="00AB3799" w:rsidP="00AB3799">
      <w:pPr>
        <w:spacing w:before="120" w:after="120"/>
        <w:rPr>
          <w:rFonts w:ascii="Arial" w:eastAsia="Times New Roman" w:hAnsi="Arial" w:cs="Arial"/>
          <w:color w:val="202122"/>
        </w:rPr>
      </w:pPr>
      <w:r w:rsidRPr="00AB3799">
        <w:rPr>
          <w:rFonts w:ascii="Arial" w:eastAsia="Times New Roman" w:hAnsi="Arial" w:cs="Arial"/>
          <w:b/>
          <w:bCs/>
          <w:color w:val="202122"/>
        </w:rPr>
        <w:t>France compétences</w:t>
      </w:r>
      <w:r w:rsidRPr="00AB3799">
        <w:rPr>
          <w:rFonts w:ascii="Arial" w:eastAsia="Times New Roman" w:hAnsi="Arial" w:cs="Arial"/>
          <w:color w:val="202122"/>
        </w:rPr>
        <w:t> </w:t>
      </w:r>
    </w:p>
    <w:p w14:paraId="370D223F" w14:textId="1112FFA9" w:rsidR="00C1035D" w:rsidRPr="00451330" w:rsidRDefault="00AB3799" w:rsidP="00451330">
      <w:pPr>
        <w:pStyle w:val="Paragraphedeliste"/>
        <w:numPr>
          <w:ilvl w:val="0"/>
          <w:numId w:val="19"/>
        </w:numPr>
        <w:spacing w:before="120" w:after="120"/>
        <w:rPr>
          <w:rFonts w:ascii="Arial" w:eastAsia="Times New Roman" w:hAnsi="Arial" w:cs="Arial"/>
          <w:color w:val="202122"/>
        </w:rPr>
      </w:pPr>
      <w:proofErr w:type="gramStart"/>
      <w:r w:rsidRPr="00451330">
        <w:rPr>
          <w:rFonts w:ascii="Arial" w:eastAsia="Times New Roman" w:hAnsi="Arial" w:cs="Arial"/>
          <w:color w:val="202122"/>
        </w:rPr>
        <w:t>est</w:t>
      </w:r>
      <w:proofErr w:type="gramEnd"/>
      <w:r w:rsidRPr="00451330">
        <w:rPr>
          <w:rFonts w:ascii="Arial" w:eastAsia="Times New Roman" w:hAnsi="Arial" w:cs="Arial"/>
          <w:color w:val="202122"/>
        </w:rPr>
        <w:t xml:space="preserve"> une institution nationale publique française dotée de la </w:t>
      </w:r>
      <w:hyperlink r:id="rId8" w:tooltip="Personnalité morale" w:history="1">
        <w:r w:rsidRPr="00451330">
          <w:rPr>
            <w:rFonts w:ascii="Arial" w:eastAsia="Times New Roman" w:hAnsi="Arial" w:cs="Arial"/>
            <w:color w:val="795CB2"/>
            <w:u w:val="single"/>
          </w:rPr>
          <w:t>personnalité morale</w:t>
        </w:r>
      </w:hyperlink>
      <w:r w:rsidRPr="00451330">
        <w:rPr>
          <w:rFonts w:ascii="Arial" w:eastAsia="Times New Roman" w:hAnsi="Arial" w:cs="Arial"/>
          <w:color w:val="202122"/>
        </w:rPr>
        <w:t xml:space="preserve"> et de l'autonomie financière, </w:t>
      </w:r>
    </w:p>
    <w:p w14:paraId="629757A1" w14:textId="18301F8F" w:rsidR="00451330" w:rsidRPr="00451330" w:rsidRDefault="00AB3799" w:rsidP="00AB3799">
      <w:pPr>
        <w:pStyle w:val="Paragraphedeliste"/>
        <w:numPr>
          <w:ilvl w:val="0"/>
          <w:numId w:val="19"/>
        </w:numPr>
        <w:spacing w:before="120" w:after="120"/>
        <w:rPr>
          <w:rFonts w:ascii="Arial" w:eastAsia="Times New Roman" w:hAnsi="Arial" w:cs="Arial"/>
          <w:color w:val="202122"/>
        </w:rPr>
      </w:pPr>
      <w:r w:rsidRPr="00451330">
        <w:rPr>
          <w:rFonts w:ascii="Arial" w:eastAsia="Times New Roman" w:hAnsi="Arial" w:cs="Arial"/>
          <w:color w:val="202122"/>
        </w:rPr>
        <w:t>créée au </w:t>
      </w:r>
      <w:hyperlink r:id="rId9" w:tooltip="1er janvier" w:history="1">
        <w:r w:rsidRPr="00451330">
          <w:rPr>
            <w:rFonts w:ascii="Arial" w:eastAsia="Times New Roman" w:hAnsi="Arial" w:cs="Arial"/>
            <w:color w:val="795CB2"/>
            <w:u w:val="single"/>
          </w:rPr>
          <w:t>1</w:t>
        </w:r>
        <w:r w:rsidRPr="00451330">
          <w:rPr>
            <w:rFonts w:ascii="Arial" w:eastAsia="Times New Roman" w:hAnsi="Arial" w:cs="Arial"/>
            <w:color w:val="795CB2"/>
            <w:u w:val="single"/>
            <w:vertAlign w:val="superscript"/>
          </w:rPr>
          <w:t>er</w:t>
        </w:r>
      </w:hyperlink>
      <w:r w:rsidRPr="00451330">
        <w:rPr>
          <w:rFonts w:ascii="Arial" w:eastAsia="Times New Roman" w:hAnsi="Arial" w:cs="Arial"/>
          <w:color w:val="202122"/>
        </w:rPr>
        <w:t> </w:t>
      </w:r>
      <w:hyperlink r:id="rId10" w:tooltip="Janvier 2019" w:history="1">
        <w:r w:rsidRPr="00451330">
          <w:rPr>
            <w:rFonts w:ascii="Arial" w:eastAsia="Times New Roman" w:hAnsi="Arial" w:cs="Arial"/>
            <w:color w:val="795CB2"/>
            <w:u w:val="single"/>
          </w:rPr>
          <w:t>janvier</w:t>
        </w:r>
      </w:hyperlink>
      <w:r w:rsidRPr="00451330">
        <w:rPr>
          <w:rFonts w:ascii="Arial" w:eastAsia="Times New Roman" w:hAnsi="Arial" w:cs="Arial"/>
          <w:color w:val="202122"/>
        </w:rPr>
        <w:t> </w:t>
      </w:r>
      <w:hyperlink r:id="rId11" w:tooltip="2019" w:history="1">
        <w:r w:rsidRPr="00451330">
          <w:rPr>
            <w:rFonts w:ascii="Arial" w:eastAsia="Times New Roman" w:hAnsi="Arial" w:cs="Arial"/>
            <w:color w:val="795CB2"/>
            <w:u w:val="single"/>
          </w:rPr>
          <w:t>2019</w:t>
        </w:r>
      </w:hyperlink>
      <w:r w:rsidRPr="00451330">
        <w:rPr>
          <w:rFonts w:ascii="Arial" w:eastAsia="Times New Roman" w:hAnsi="Arial" w:cs="Arial"/>
          <w:color w:val="202122"/>
        </w:rPr>
        <w:t xml:space="preserve"> en application de la </w:t>
      </w:r>
      <w:r w:rsidRPr="00451330">
        <w:rPr>
          <w:rFonts w:ascii="Arial" w:eastAsia="Times New Roman" w:hAnsi="Arial" w:cs="Arial"/>
          <w:b/>
          <w:bCs/>
          <w:color w:val="202122"/>
          <w:u w:val="single"/>
        </w:rPr>
        <w:t>loi pour la liberté de choisir son avenir professionnel</w:t>
      </w:r>
      <w:r w:rsidRPr="00451330">
        <w:rPr>
          <w:rFonts w:ascii="Arial" w:eastAsia="Times New Roman" w:hAnsi="Arial" w:cs="Arial"/>
          <w:color w:val="202122"/>
        </w:rPr>
        <w:t xml:space="preserve"> du </w:t>
      </w:r>
      <w:hyperlink r:id="rId12" w:tooltip="5 septembre" w:history="1">
        <w:r w:rsidRPr="00451330">
          <w:rPr>
            <w:rFonts w:ascii="Arial" w:eastAsia="Times New Roman" w:hAnsi="Arial" w:cs="Arial"/>
            <w:color w:val="795CB2"/>
            <w:u w:val="single"/>
          </w:rPr>
          <w:t>5</w:t>
        </w:r>
      </w:hyperlink>
      <w:r w:rsidRPr="00451330">
        <w:rPr>
          <w:rFonts w:ascii="Arial" w:eastAsia="Times New Roman" w:hAnsi="Arial" w:cs="Arial"/>
          <w:color w:val="202122"/>
        </w:rPr>
        <w:t> </w:t>
      </w:r>
      <w:hyperlink r:id="rId13" w:tooltip="Septembre 2018" w:history="1">
        <w:r w:rsidRPr="00451330">
          <w:rPr>
            <w:rFonts w:ascii="Arial" w:eastAsia="Times New Roman" w:hAnsi="Arial" w:cs="Arial"/>
            <w:color w:val="795CB2"/>
            <w:u w:val="single"/>
          </w:rPr>
          <w:t>septembre</w:t>
        </w:r>
      </w:hyperlink>
      <w:r w:rsidRPr="00451330">
        <w:rPr>
          <w:rFonts w:ascii="Arial" w:eastAsia="Times New Roman" w:hAnsi="Arial" w:cs="Arial"/>
          <w:color w:val="202122"/>
        </w:rPr>
        <w:t> </w:t>
      </w:r>
      <w:hyperlink r:id="rId14" w:tooltip="2018" w:history="1">
        <w:r w:rsidRPr="00451330">
          <w:rPr>
            <w:rFonts w:ascii="Arial" w:eastAsia="Times New Roman" w:hAnsi="Arial" w:cs="Arial"/>
            <w:color w:val="795CB2"/>
            <w:u w:val="single"/>
          </w:rPr>
          <w:t>2018</w:t>
        </w:r>
      </w:hyperlink>
      <w:r w:rsidRPr="00451330">
        <w:rPr>
          <w:rFonts w:ascii="Arial" w:eastAsia="Times New Roman" w:hAnsi="Arial" w:cs="Arial"/>
          <w:color w:val="202122"/>
        </w:rPr>
        <w:t>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4"/>
      </w:tblGrid>
      <w:tr w:rsidR="00451330" w14:paraId="229ACAB0" w14:textId="77777777" w:rsidTr="00451330">
        <w:tc>
          <w:tcPr>
            <w:tcW w:w="10764" w:type="dxa"/>
          </w:tcPr>
          <w:p w14:paraId="3067561A" w14:textId="77777777" w:rsidR="00451330" w:rsidRDefault="00451330" w:rsidP="00451330">
            <w:pPr>
              <w:pStyle w:val="Titre2"/>
              <w:spacing w:before="0" w:after="300" w:line="510" w:lineRule="atLeast"/>
              <w:jc w:val="center"/>
              <w:rPr>
                <w:rFonts w:ascii="Arial" w:hAnsi="Arial" w:cs="Arial"/>
                <w:b w:val="0"/>
                <w:color w:val="000091"/>
                <w:sz w:val="42"/>
                <w:szCs w:val="42"/>
              </w:rPr>
            </w:pPr>
            <w:r>
              <w:rPr>
                <w:rFonts w:ascii="Arial" w:hAnsi="Arial" w:cs="Arial"/>
                <w:b w:val="0"/>
                <w:bCs/>
                <w:color w:val="000091"/>
                <w:sz w:val="42"/>
                <w:szCs w:val="42"/>
              </w:rPr>
              <w:t>La loi du 5 septembre 2018 a profondément changé le paysage de la formation professionnelle</w:t>
            </w:r>
          </w:p>
          <w:p w14:paraId="075EF040" w14:textId="77777777" w:rsidR="00451330" w:rsidRDefault="00451330" w:rsidP="00451330">
            <w:pPr>
              <w:pStyle w:val="NormalWeb"/>
              <w:spacing w:before="0" w:beforeAutospacing="0" w:after="375" w:afterAutospacing="0" w:line="360" w:lineRule="atLeast"/>
              <w:jc w:val="both"/>
              <w:rPr>
                <w:rFonts w:ascii="Arial" w:hAnsi="Arial" w:cs="Arial"/>
                <w:color w:val="484D74"/>
              </w:rPr>
            </w:pPr>
            <w:hyperlink r:id="rId15" w:tgtFrame="_blank" w:history="1">
              <w:r>
                <w:rPr>
                  <w:rStyle w:val="Lienhypertexte"/>
                  <w:rFonts w:ascii="Arial" w:hAnsi="Arial" w:cs="Arial"/>
                  <w:color w:val="0282C3"/>
                </w:rPr>
                <w:t>La loi pour la liberté de choisir son avenir professionnel</w:t>
              </w:r>
              <w:r>
                <w:rPr>
                  <w:rStyle w:val="apple-converted-space"/>
                  <w:rFonts w:ascii="Arial" w:hAnsi="Arial" w:cs="Arial"/>
                  <w:color w:val="0282C3"/>
                </w:rPr>
                <w:t> </w:t>
              </w:r>
            </w:hyperlink>
            <w:r>
              <w:rPr>
                <w:rFonts w:ascii="Arial" w:hAnsi="Arial" w:cs="Arial"/>
                <w:color w:val="484D74"/>
              </w:rPr>
              <w:t>s’applique depuis le 1er janvier 2019. Elle modifie à la fois la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Style w:val="lev"/>
                <w:rFonts w:ascii="Arial" w:hAnsi="Arial" w:cs="Arial"/>
                <w:color w:val="484D74"/>
              </w:rPr>
              <w:t>gouvernance du système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et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Style w:val="lev"/>
                <w:rFonts w:ascii="Arial" w:hAnsi="Arial" w:cs="Arial"/>
                <w:color w:val="484D74"/>
              </w:rPr>
              <w:t>l’interaction des acteurs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entre eux.</w:t>
            </w:r>
          </w:p>
          <w:p w14:paraId="603381B1" w14:textId="77777777" w:rsidR="00451330" w:rsidRDefault="00451330" w:rsidP="00451330">
            <w:pPr>
              <w:pStyle w:val="NormalWeb"/>
              <w:spacing w:before="0" w:beforeAutospacing="0" w:after="375" w:afterAutospacing="0" w:line="360" w:lineRule="atLeast"/>
              <w:jc w:val="both"/>
              <w:rPr>
                <w:rFonts w:ascii="Arial" w:hAnsi="Arial" w:cs="Arial"/>
                <w:color w:val="484D74"/>
              </w:rPr>
            </w:pPr>
            <w:r>
              <w:rPr>
                <w:rFonts w:ascii="Arial" w:hAnsi="Arial" w:cs="Arial"/>
                <w:color w:val="484D74"/>
              </w:rPr>
              <w:t>Elle s’adresse à chaque personne dans ses particularités et ses choix professionnels afin de l’accompagner efficacement sur le marché de l’emploi : salariés, indépendants, chefs d’entreprise ou demandeurs d’emploi.</w:t>
            </w:r>
          </w:p>
          <w:p w14:paraId="33035737" w14:textId="77777777" w:rsidR="00451330" w:rsidRDefault="00451330" w:rsidP="00451330">
            <w:pPr>
              <w:pStyle w:val="NormalWeb"/>
              <w:spacing w:before="0" w:beforeAutospacing="0" w:after="375" w:afterAutospacing="0" w:line="360" w:lineRule="atLeast"/>
              <w:jc w:val="both"/>
              <w:rPr>
                <w:rFonts w:ascii="Arial" w:hAnsi="Arial" w:cs="Arial"/>
                <w:color w:val="484D74"/>
              </w:rPr>
            </w:pPr>
            <w:r>
              <w:rPr>
                <w:rFonts w:ascii="Arial" w:hAnsi="Arial" w:cs="Arial"/>
                <w:color w:val="484D74"/>
              </w:rPr>
              <w:t>Cette nouvelle ambition se caractérise par :</w:t>
            </w:r>
          </w:p>
          <w:p w14:paraId="2235B2BF" w14:textId="77777777" w:rsidR="00451330" w:rsidRDefault="00451330" w:rsidP="00451330">
            <w:pPr>
              <w:numPr>
                <w:ilvl w:val="0"/>
                <w:numId w:val="17"/>
              </w:numPr>
              <w:spacing w:before="210"/>
              <w:jc w:val="both"/>
              <w:rPr>
                <w:rFonts w:ascii="Arial" w:hAnsi="Arial" w:cs="Arial"/>
                <w:color w:val="484D74"/>
              </w:rPr>
            </w:pPr>
            <w:r>
              <w:rPr>
                <w:rStyle w:val="lev"/>
                <w:rFonts w:ascii="Arial" w:hAnsi="Arial" w:cs="Arial"/>
                <w:color w:val="484D74"/>
              </w:rPr>
              <w:t>l’actualisation de certains dispositifs existants :</w:t>
            </w:r>
            <w:r>
              <w:rPr>
                <w:rStyle w:val="apple-converted-space"/>
                <w:rFonts w:ascii="Arial" w:hAnsi="Arial" w:cs="Arial"/>
                <w:b/>
                <w:bCs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comme le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hyperlink r:id="rId16" w:anchor="/" w:tgtFrame="_blank" w:history="1">
              <w:r>
                <w:rPr>
                  <w:rStyle w:val="Lienhypertexte"/>
                  <w:rFonts w:ascii="Arial" w:hAnsi="Arial" w:cs="Arial"/>
                  <w:color w:val="0282C3"/>
                </w:rPr>
                <w:t xml:space="preserve">Compte personnel de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0282C3"/>
                </w:rPr>
                <w:t>formation</w:t>
              </w:r>
            </w:hyperlink>
            <w:r>
              <w:rPr>
                <w:rFonts w:ascii="Arial" w:hAnsi="Arial" w:cs="Arial"/>
                <w:color w:val="484D74"/>
              </w:rPr>
              <w:t>qui</w:t>
            </w:r>
            <w:proofErr w:type="spellEnd"/>
            <w:r>
              <w:rPr>
                <w:rFonts w:ascii="Arial" w:hAnsi="Arial" w:cs="Arial"/>
                <w:color w:val="484D74"/>
              </w:rPr>
              <w:t xml:space="preserve"> permet à toute personne active, dès son entrée sur le marché du travail et jusqu’à la date à laquelle elle fait valoir l’ensemble de ses droits à la retraite, d’acquérir des droits à la formation mobilisables tout au long de sa vie professionnelle ; ou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hyperlink r:id="rId17" w:history="1">
              <w:r>
                <w:rPr>
                  <w:rStyle w:val="Lienhypertexte"/>
                  <w:rFonts w:ascii="Arial" w:hAnsi="Arial" w:cs="Arial"/>
                  <w:color w:val="0282C3"/>
                </w:rPr>
                <w:t>le conseil en évolution professionnelle</w:t>
              </w:r>
            </w:hyperlink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qui permet à tous ceux qui le souhaitent de se faire accompagner gratuitement sur leur projet professionnel.</w:t>
            </w:r>
          </w:p>
          <w:p w14:paraId="01171418" w14:textId="5E3FDA62" w:rsidR="00451330" w:rsidRDefault="00451330" w:rsidP="00451330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484D74"/>
              </w:rPr>
            </w:pPr>
            <w:proofErr w:type="gramStart"/>
            <w:r>
              <w:rPr>
                <w:rStyle w:val="lev"/>
                <w:rFonts w:ascii="Arial" w:hAnsi="Arial" w:cs="Arial"/>
                <w:color w:val="484D74"/>
              </w:rPr>
              <w:t>la</w:t>
            </w:r>
            <w:proofErr w:type="gramEnd"/>
            <w:r>
              <w:rPr>
                <w:rStyle w:val="lev"/>
                <w:rFonts w:ascii="Arial" w:hAnsi="Arial" w:cs="Arial"/>
                <w:color w:val="484D74"/>
              </w:rPr>
              <w:t xml:space="preserve"> création de nouveaux dispositifs :</w:t>
            </w:r>
            <w:r>
              <w:rPr>
                <w:rStyle w:val="apple-converted-space"/>
                <w:rFonts w:ascii="Arial" w:hAnsi="Arial" w:cs="Arial"/>
                <w:b/>
                <w:bCs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tel que celui dédié à la reconversion et promotion par l’alternance, appelé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Style w:val="glossary-underline"/>
                <w:rFonts w:ascii="Arial" w:hAnsi="Arial" w:cs="Arial"/>
                <w:b/>
                <w:bCs/>
                <w:color w:val="7D4E5B"/>
                <w:u w:val="single"/>
                <w:bdr w:val="none" w:sz="0" w:space="0" w:color="auto" w:frame="1"/>
                <w:shd w:val="clear" w:color="auto" w:fill="F2F2F2"/>
              </w:rPr>
              <w:t>PRO-A</w:t>
            </w:r>
            <w:r>
              <w:rPr>
                <w:rFonts w:ascii="Arial" w:hAnsi="Arial" w:cs="Arial"/>
                <w:color w:val="484D74"/>
              </w:rPr>
              <w:t>, qui remplace les périodes de  professionnalisation et s’insère dans un contexte de fortes mutations du marché du travail.</w:t>
            </w:r>
          </w:p>
          <w:p w14:paraId="6D6A93DD" w14:textId="77777777" w:rsidR="00451330" w:rsidRDefault="00451330" w:rsidP="00451330">
            <w:pPr>
              <w:pStyle w:val="NormalWeb"/>
              <w:spacing w:before="0" w:beforeAutospacing="0" w:after="375" w:afterAutospacing="0" w:line="360" w:lineRule="atLeast"/>
              <w:jc w:val="both"/>
              <w:rPr>
                <w:rFonts w:ascii="Arial" w:hAnsi="Arial" w:cs="Arial"/>
                <w:color w:val="484D74"/>
              </w:rPr>
            </w:pPr>
            <w:r>
              <w:rPr>
                <w:rFonts w:ascii="Arial" w:hAnsi="Arial" w:cs="Arial"/>
                <w:color w:val="484D74"/>
              </w:rPr>
              <w:t>Par ailleurs, une place prépondérante est donnée à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hyperlink r:id="rId18" w:history="1">
              <w:r>
                <w:rPr>
                  <w:rStyle w:val="Lienhypertexte"/>
                  <w:rFonts w:ascii="Arial" w:hAnsi="Arial" w:cs="Arial"/>
                  <w:color w:val="0282C3"/>
                </w:rPr>
                <w:t>l’apprentissage.</w:t>
              </w:r>
            </w:hyperlink>
          </w:p>
          <w:p w14:paraId="2DA6196B" w14:textId="77777777" w:rsidR="00451330" w:rsidRDefault="00451330" w:rsidP="00451330">
            <w:pPr>
              <w:pStyle w:val="Titre2"/>
              <w:spacing w:before="0" w:after="300" w:line="510" w:lineRule="atLeast"/>
              <w:jc w:val="center"/>
              <w:rPr>
                <w:rFonts w:ascii="Arial" w:hAnsi="Arial" w:cs="Arial"/>
                <w:b w:val="0"/>
                <w:color w:val="000091"/>
                <w:sz w:val="42"/>
                <w:szCs w:val="42"/>
              </w:rPr>
            </w:pPr>
            <w:r>
              <w:rPr>
                <w:rFonts w:ascii="Arial" w:hAnsi="Arial" w:cs="Arial"/>
                <w:b w:val="0"/>
                <w:bCs/>
                <w:color w:val="000091"/>
                <w:sz w:val="42"/>
                <w:szCs w:val="42"/>
              </w:rPr>
              <w:t>Et la gouvernance du secteur a été simplifiée</w:t>
            </w:r>
          </w:p>
          <w:p w14:paraId="5829E221" w14:textId="77777777" w:rsidR="00451330" w:rsidRDefault="00451330" w:rsidP="00451330">
            <w:pPr>
              <w:numPr>
                <w:ilvl w:val="0"/>
                <w:numId w:val="20"/>
              </w:numPr>
              <w:spacing w:before="210"/>
              <w:jc w:val="both"/>
              <w:rPr>
                <w:rFonts w:ascii="Arial" w:hAnsi="Arial" w:cs="Arial"/>
                <w:color w:val="484D74"/>
              </w:rPr>
            </w:pPr>
            <w:r>
              <w:rPr>
                <w:rStyle w:val="lev"/>
                <w:rFonts w:ascii="Arial" w:hAnsi="Arial" w:cs="Arial"/>
                <w:color w:val="484D74"/>
              </w:rPr>
              <w:t>L’État</w:t>
            </w:r>
            <w:r>
              <w:rPr>
                <w:rStyle w:val="apple-converted-space"/>
                <w:rFonts w:ascii="Arial" w:hAnsi="Arial" w:cs="Arial"/>
                <w:b/>
                <w:bCs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reste le garant de la bonne utilisation des fonds publics et des fonds mutualisés dédiés à la formation professionnelle et à l'apprentissage ;</w:t>
            </w:r>
          </w:p>
          <w:p w14:paraId="59D4F809" w14:textId="77777777" w:rsidR="00451330" w:rsidRDefault="00451330" w:rsidP="00451330">
            <w:pPr>
              <w:numPr>
                <w:ilvl w:val="0"/>
                <w:numId w:val="20"/>
              </w:numPr>
              <w:spacing w:before="210"/>
              <w:jc w:val="both"/>
              <w:rPr>
                <w:rFonts w:ascii="Arial" w:hAnsi="Arial" w:cs="Arial"/>
                <w:color w:val="484D74"/>
              </w:rPr>
            </w:pPr>
            <w:hyperlink r:id="rId19" w:anchor="qui-sommes-nous" w:tgtFrame="_blank" w:history="1">
              <w:r>
                <w:rPr>
                  <w:rStyle w:val="Lienhypertexte"/>
                  <w:rFonts w:ascii="Arial" w:hAnsi="Arial" w:cs="Arial"/>
                  <w:b/>
                  <w:bCs/>
                  <w:color w:val="0282C3"/>
                </w:rPr>
                <w:t>France compétences</w:t>
              </w:r>
            </w:hyperlink>
            <w:r>
              <w:rPr>
                <w:rFonts w:ascii="Arial" w:hAnsi="Arial" w:cs="Arial"/>
                <w:color w:val="484D74"/>
              </w:rPr>
              <w:t>, institution nationale publique créée en application de la loi, est l’unique instance de gouvernance nationale. Elle a pour</w:t>
            </w:r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hyperlink r:id="rId20" w:anchor="nos-missions" w:tgtFrame="_blank" w:history="1">
              <w:r>
                <w:rPr>
                  <w:rStyle w:val="Lienhypertexte"/>
                  <w:rFonts w:ascii="Arial" w:hAnsi="Arial" w:cs="Arial"/>
                  <w:b/>
                  <w:bCs/>
                  <w:color w:val="0282C3"/>
                </w:rPr>
                <w:t>missions de financer, de réguler et d’améliorer</w:t>
              </w:r>
            </w:hyperlink>
            <w:r>
              <w:rPr>
                <w:rStyle w:val="apple-converted-space"/>
                <w:rFonts w:ascii="Arial" w:hAnsi="Arial" w:cs="Arial"/>
                <w:color w:val="484D74"/>
              </w:rPr>
              <w:t> </w:t>
            </w:r>
            <w:r>
              <w:rPr>
                <w:rFonts w:ascii="Arial" w:hAnsi="Arial" w:cs="Arial"/>
                <w:color w:val="484D74"/>
              </w:rPr>
              <w:t>le secteur de la formation professionnelle et de l’apprentissage.</w:t>
            </w:r>
          </w:p>
          <w:p w14:paraId="238AE5B3" w14:textId="77777777" w:rsidR="00451330" w:rsidRDefault="00451330" w:rsidP="00AB3799">
            <w:pPr>
              <w:spacing w:before="120" w:after="120"/>
              <w:rPr>
                <w:rFonts w:ascii="Arial" w:eastAsia="Times New Roman" w:hAnsi="Arial" w:cs="Arial"/>
                <w:color w:val="202122"/>
              </w:rPr>
            </w:pPr>
          </w:p>
        </w:tc>
      </w:tr>
    </w:tbl>
    <w:p w14:paraId="0AE96245" w14:textId="23BC7651" w:rsidR="00C1035D" w:rsidRPr="00451330" w:rsidRDefault="00AB3799" w:rsidP="00451330">
      <w:pPr>
        <w:pStyle w:val="Paragraphedeliste"/>
        <w:numPr>
          <w:ilvl w:val="0"/>
          <w:numId w:val="19"/>
        </w:numPr>
        <w:spacing w:before="120" w:after="120"/>
        <w:rPr>
          <w:rFonts w:ascii="Arial" w:eastAsia="Times New Roman" w:hAnsi="Arial" w:cs="Arial"/>
          <w:color w:val="202122"/>
        </w:rPr>
      </w:pPr>
      <w:r w:rsidRPr="00451330">
        <w:rPr>
          <w:rFonts w:ascii="Arial" w:eastAsia="Times New Roman" w:hAnsi="Arial" w:cs="Arial"/>
          <w:color w:val="202122"/>
        </w:rPr>
        <w:t>Elle est l'autorité nationale unique de régulation et de financement de la </w:t>
      </w:r>
      <w:hyperlink r:id="rId21" w:tooltip="Formation professionnelle en France" w:history="1">
        <w:r w:rsidRPr="00451330">
          <w:rPr>
            <w:rFonts w:ascii="Arial" w:eastAsia="Times New Roman" w:hAnsi="Arial" w:cs="Arial"/>
            <w:color w:val="795CB2"/>
            <w:u w:val="single"/>
          </w:rPr>
          <w:t>formation professionnelle</w:t>
        </w:r>
      </w:hyperlink>
      <w:r w:rsidRPr="00451330">
        <w:rPr>
          <w:rFonts w:ascii="Arial" w:eastAsia="Times New Roman" w:hAnsi="Arial" w:cs="Arial"/>
          <w:color w:val="202122"/>
        </w:rPr>
        <w:t> et de l’</w:t>
      </w:r>
      <w:hyperlink r:id="rId22" w:tooltip="Contrat d'apprentissage" w:history="1">
        <w:r w:rsidRPr="00451330">
          <w:rPr>
            <w:rFonts w:ascii="Arial" w:eastAsia="Times New Roman" w:hAnsi="Arial" w:cs="Arial"/>
            <w:color w:val="795CB2"/>
            <w:u w:val="single"/>
          </w:rPr>
          <w:t>apprentissage</w:t>
        </w:r>
      </w:hyperlink>
      <w:r w:rsidRPr="00451330">
        <w:rPr>
          <w:rFonts w:ascii="Arial" w:eastAsia="Times New Roman" w:hAnsi="Arial" w:cs="Arial"/>
          <w:color w:val="202122"/>
        </w:rPr>
        <w:t> </w:t>
      </w:r>
    </w:p>
    <w:p w14:paraId="75C04C66" w14:textId="356872D6" w:rsidR="00AB3799" w:rsidRPr="00451330" w:rsidRDefault="00C1035D" w:rsidP="00AB3799">
      <w:pPr>
        <w:pStyle w:val="Paragraphedeliste"/>
        <w:numPr>
          <w:ilvl w:val="0"/>
          <w:numId w:val="19"/>
        </w:numPr>
        <w:spacing w:before="120" w:after="120"/>
        <w:rPr>
          <w:rFonts w:ascii="Arial" w:eastAsia="Times New Roman" w:hAnsi="Arial" w:cs="Arial"/>
          <w:color w:val="202122"/>
        </w:rPr>
      </w:pPr>
      <w:r w:rsidRPr="00451330">
        <w:rPr>
          <w:rFonts w:ascii="Arial" w:eastAsia="Times New Roman" w:hAnsi="Arial" w:cs="Arial"/>
          <w:color w:val="202122"/>
        </w:rPr>
        <w:t>Elle</w:t>
      </w:r>
      <w:r w:rsidR="00AB3799" w:rsidRPr="00451330">
        <w:rPr>
          <w:rFonts w:ascii="Arial" w:eastAsia="Times New Roman" w:hAnsi="Arial" w:cs="Arial"/>
          <w:color w:val="202122"/>
        </w:rPr>
        <w:t xml:space="preserve"> remplace la Commission nationale de la certification professionnelle pour la gestion du </w:t>
      </w:r>
      <w:hyperlink r:id="rId23" w:tooltip="Répertoire national des certifications professionnelles" w:history="1">
        <w:r w:rsidR="00AB3799" w:rsidRPr="00451330">
          <w:rPr>
            <w:rFonts w:ascii="Arial" w:eastAsia="Times New Roman" w:hAnsi="Arial" w:cs="Arial"/>
            <w:color w:val="795CB2"/>
            <w:u w:val="single"/>
          </w:rPr>
          <w:t>Répertoire national des certifications professionnelles (RNCP)</w:t>
        </w:r>
      </w:hyperlink>
      <w:r w:rsidR="00AB3799" w:rsidRPr="00451330">
        <w:rPr>
          <w:rFonts w:ascii="Arial" w:eastAsia="Times New Roman" w:hAnsi="Arial" w:cs="Arial"/>
          <w:color w:val="202122"/>
        </w:rPr>
        <w:t>.</w:t>
      </w:r>
    </w:p>
    <w:sectPr w:rsidR="00AB3799" w:rsidRPr="00451330">
      <w:headerReference w:type="default" r:id="rId24"/>
      <w:footerReference w:type="default" r:id="rId25"/>
      <w:pgSz w:w="11906" w:h="16838"/>
      <w:pgMar w:top="566" w:right="566" w:bottom="566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3C1F" w14:textId="77777777" w:rsidR="003658E7" w:rsidRDefault="003658E7">
      <w:r>
        <w:separator/>
      </w:r>
    </w:p>
  </w:endnote>
  <w:endnote w:type="continuationSeparator" w:id="0">
    <w:p w14:paraId="67DE4848" w14:textId="77777777" w:rsidR="003658E7" w:rsidRDefault="003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25B" w14:textId="77777777" w:rsidR="00450842" w:rsidRDefault="00450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C7B2" w14:textId="77777777" w:rsidR="003658E7" w:rsidRDefault="003658E7">
      <w:r>
        <w:separator/>
      </w:r>
    </w:p>
  </w:footnote>
  <w:footnote w:type="continuationSeparator" w:id="0">
    <w:p w14:paraId="5036C4DE" w14:textId="77777777" w:rsidR="003658E7" w:rsidRDefault="0036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454" w14:textId="77777777" w:rsidR="00450842" w:rsidRDefault="00450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15"/>
    <w:multiLevelType w:val="multilevel"/>
    <w:tmpl w:val="57444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32296"/>
    <w:multiLevelType w:val="multilevel"/>
    <w:tmpl w:val="094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3319E"/>
    <w:multiLevelType w:val="multilevel"/>
    <w:tmpl w:val="8CE25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03EF6"/>
    <w:multiLevelType w:val="hybridMultilevel"/>
    <w:tmpl w:val="E196FB04"/>
    <w:lvl w:ilvl="0" w:tplc="8936422C">
      <w:start w:val="10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032C"/>
    <w:multiLevelType w:val="multilevel"/>
    <w:tmpl w:val="BDD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00EC0"/>
    <w:multiLevelType w:val="multilevel"/>
    <w:tmpl w:val="3A32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E0209C"/>
    <w:multiLevelType w:val="multilevel"/>
    <w:tmpl w:val="92C28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4A616D"/>
    <w:multiLevelType w:val="multilevel"/>
    <w:tmpl w:val="B8506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FD2B4D"/>
    <w:multiLevelType w:val="multilevel"/>
    <w:tmpl w:val="CF708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FD25E2"/>
    <w:multiLevelType w:val="multilevel"/>
    <w:tmpl w:val="00D8A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ED301E"/>
    <w:multiLevelType w:val="multilevel"/>
    <w:tmpl w:val="69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14318"/>
    <w:multiLevelType w:val="multilevel"/>
    <w:tmpl w:val="624E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DD4DA8"/>
    <w:multiLevelType w:val="multilevel"/>
    <w:tmpl w:val="C2EA4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8F2B92"/>
    <w:multiLevelType w:val="multilevel"/>
    <w:tmpl w:val="6FAEC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146E38"/>
    <w:multiLevelType w:val="multilevel"/>
    <w:tmpl w:val="6ACA3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7C334D"/>
    <w:multiLevelType w:val="multilevel"/>
    <w:tmpl w:val="9C227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EC5441"/>
    <w:multiLevelType w:val="multilevel"/>
    <w:tmpl w:val="043E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A73A5"/>
    <w:multiLevelType w:val="multilevel"/>
    <w:tmpl w:val="C5029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832228"/>
    <w:multiLevelType w:val="multilevel"/>
    <w:tmpl w:val="426ED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831EE0"/>
    <w:multiLevelType w:val="multilevel"/>
    <w:tmpl w:val="475E5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9124859">
    <w:abstractNumId w:val="19"/>
  </w:num>
  <w:num w:numId="2" w16cid:durableId="1298339642">
    <w:abstractNumId w:val="5"/>
  </w:num>
  <w:num w:numId="3" w16cid:durableId="1003051937">
    <w:abstractNumId w:val="11"/>
  </w:num>
  <w:num w:numId="4" w16cid:durableId="632559242">
    <w:abstractNumId w:val="13"/>
  </w:num>
  <w:num w:numId="5" w16cid:durableId="1107770504">
    <w:abstractNumId w:val="14"/>
  </w:num>
  <w:num w:numId="6" w16cid:durableId="724138158">
    <w:abstractNumId w:val="18"/>
  </w:num>
  <w:num w:numId="7" w16cid:durableId="1790931538">
    <w:abstractNumId w:val="2"/>
  </w:num>
  <w:num w:numId="8" w16cid:durableId="1167944341">
    <w:abstractNumId w:val="12"/>
  </w:num>
  <w:num w:numId="9" w16cid:durableId="300967952">
    <w:abstractNumId w:val="7"/>
  </w:num>
  <w:num w:numId="10" w16cid:durableId="53237952">
    <w:abstractNumId w:val="17"/>
  </w:num>
  <w:num w:numId="11" w16cid:durableId="1513953883">
    <w:abstractNumId w:val="9"/>
  </w:num>
  <w:num w:numId="12" w16cid:durableId="1580864236">
    <w:abstractNumId w:val="0"/>
  </w:num>
  <w:num w:numId="13" w16cid:durableId="1646425233">
    <w:abstractNumId w:val="8"/>
  </w:num>
  <w:num w:numId="14" w16cid:durableId="1853910984">
    <w:abstractNumId w:val="6"/>
  </w:num>
  <w:num w:numId="15" w16cid:durableId="783816768">
    <w:abstractNumId w:val="15"/>
  </w:num>
  <w:num w:numId="16" w16cid:durableId="515734218">
    <w:abstractNumId w:val="10"/>
  </w:num>
  <w:num w:numId="17" w16cid:durableId="1890722253">
    <w:abstractNumId w:val="4"/>
  </w:num>
  <w:num w:numId="18" w16cid:durableId="2011829697">
    <w:abstractNumId w:val="1"/>
  </w:num>
  <w:num w:numId="19" w16cid:durableId="1211572270">
    <w:abstractNumId w:val="3"/>
  </w:num>
  <w:num w:numId="20" w16cid:durableId="1458528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42"/>
    <w:rsid w:val="000F3FF8"/>
    <w:rsid w:val="00152D09"/>
    <w:rsid w:val="002F7914"/>
    <w:rsid w:val="003658E7"/>
    <w:rsid w:val="00450842"/>
    <w:rsid w:val="00451330"/>
    <w:rsid w:val="0064292A"/>
    <w:rsid w:val="009656C8"/>
    <w:rsid w:val="00A447A5"/>
    <w:rsid w:val="00AB3799"/>
    <w:rsid w:val="00C1035D"/>
    <w:rsid w:val="00C522F1"/>
    <w:rsid w:val="00CB1809"/>
    <w:rsid w:val="00C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D430E"/>
  <w15:docId w15:val="{DC28A294-7C9E-B14D-A894-5DB413F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AB3799"/>
  </w:style>
  <w:style w:type="character" w:styleId="Lienhypertexte">
    <w:name w:val="Hyperlink"/>
    <w:basedOn w:val="Policepardfaut"/>
    <w:uiPriority w:val="99"/>
    <w:unhideWhenUsed/>
    <w:rsid w:val="00AB37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C103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51330"/>
    <w:rPr>
      <w:b/>
      <w:bCs/>
    </w:rPr>
  </w:style>
  <w:style w:type="character" w:customStyle="1" w:styleId="glossary-underline">
    <w:name w:val="glossary-underline"/>
    <w:basedOn w:val="Policepardfaut"/>
    <w:rsid w:val="00451330"/>
  </w:style>
  <w:style w:type="character" w:customStyle="1" w:styleId="glossary-tooltip-text">
    <w:name w:val="glossary-tooltip-text"/>
    <w:basedOn w:val="Policepardfaut"/>
    <w:rsid w:val="00451330"/>
  </w:style>
  <w:style w:type="paragraph" w:styleId="Paragraphedeliste">
    <w:name w:val="List Paragraph"/>
    <w:basedOn w:val="Normal"/>
    <w:uiPriority w:val="34"/>
    <w:qFormat/>
    <w:rsid w:val="004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ersonnalit%C3%A9_morale" TargetMode="External"/><Relationship Id="rId13" Type="http://schemas.openxmlformats.org/officeDocument/2006/relationships/hyperlink" Target="https://fr.wikipedia.org/wiki/Septembre_2018" TargetMode="External"/><Relationship Id="rId18" Type="http://schemas.openxmlformats.org/officeDocument/2006/relationships/hyperlink" Target="http://www.francecompetences.fr/la-formation-professionnelle/apprentissag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Formation_professionnelle_en_France" TargetMode="External"/><Relationship Id="rId7" Type="http://schemas.openxmlformats.org/officeDocument/2006/relationships/hyperlink" Target="https://www.francecompetences.fr" TargetMode="External"/><Relationship Id="rId12" Type="http://schemas.openxmlformats.org/officeDocument/2006/relationships/hyperlink" Target="https://fr.wikipedia.org/wiki/5_septembre" TargetMode="External"/><Relationship Id="rId17" Type="http://schemas.openxmlformats.org/officeDocument/2006/relationships/hyperlink" Target="http://www.francecompetences.fr/mon-cep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ncompteformation.gouv.fr/espace-prive/html/" TargetMode="External"/><Relationship Id="rId20" Type="http://schemas.openxmlformats.org/officeDocument/2006/relationships/hyperlink" Target="http://www.francecompetences.fr/france-competen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201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Texte.do?cidTexte=JORFTEXT000037367660&amp;categorieLien=id" TargetMode="External"/><Relationship Id="rId23" Type="http://schemas.openxmlformats.org/officeDocument/2006/relationships/hyperlink" Target="https://fr.wikipedia.org/wiki/R%C3%A9pertoire_national_des_certifications_professionnelles" TargetMode="External"/><Relationship Id="rId10" Type="http://schemas.openxmlformats.org/officeDocument/2006/relationships/hyperlink" Target="https://fr.wikipedia.org/wiki/Janvier_2019" TargetMode="External"/><Relationship Id="rId19" Type="http://schemas.openxmlformats.org/officeDocument/2006/relationships/hyperlink" Target="http://www.francecompetences.fr/france-compet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1er_janvier" TargetMode="External"/><Relationship Id="rId14" Type="http://schemas.openxmlformats.org/officeDocument/2006/relationships/hyperlink" Target="https://fr.wikipedia.org/wiki/2018" TargetMode="External"/><Relationship Id="rId22" Type="http://schemas.openxmlformats.org/officeDocument/2006/relationships/hyperlink" Target="https://fr.wikipedia.org/wiki/Contrat_d%27apprentiss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RIVIERE</cp:lastModifiedBy>
  <cp:revision>5</cp:revision>
  <dcterms:created xsi:type="dcterms:W3CDTF">2021-12-22T18:06:00Z</dcterms:created>
  <dcterms:modified xsi:type="dcterms:W3CDTF">2022-10-10T10:07:00Z</dcterms:modified>
</cp:coreProperties>
</file>